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41" w:rsidRDefault="0048539C" w:rsidP="005D2741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</w:pPr>
      <w:r w:rsidRPr="0048539C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 xml:space="preserve">Программа </w:t>
      </w:r>
    </w:p>
    <w:p w:rsidR="005D2741" w:rsidRDefault="0048539C" w:rsidP="005D2741">
      <w:pPr>
        <w:pStyle w:val="a7"/>
        <w:jc w:val="center"/>
        <w:rPr>
          <w:kern w:val="36"/>
          <w:lang w:eastAsia="ru-RU"/>
        </w:rPr>
      </w:pPr>
      <w:r w:rsidRPr="0048539C">
        <w:rPr>
          <w:kern w:val="36"/>
          <w:lang w:eastAsia="ru-RU"/>
        </w:rPr>
        <w:t>развития системы российского музыкального образования</w:t>
      </w:r>
      <w:r w:rsidR="005D2741">
        <w:rPr>
          <w:kern w:val="36"/>
          <w:lang w:eastAsia="ru-RU"/>
        </w:rPr>
        <w:t xml:space="preserve"> </w:t>
      </w:r>
    </w:p>
    <w:p w:rsidR="005D2741" w:rsidRDefault="005D2741" w:rsidP="005D2741">
      <w:pPr>
        <w:pStyle w:val="a7"/>
        <w:jc w:val="center"/>
        <w:rPr>
          <w:kern w:val="36"/>
          <w:lang w:eastAsia="ru-RU"/>
        </w:rPr>
      </w:pPr>
      <w:r>
        <w:rPr>
          <w:kern w:val="36"/>
          <w:lang w:eastAsia="ru-RU"/>
        </w:rPr>
        <w:t>на период с 2015 по 2020 годы</w:t>
      </w:r>
    </w:p>
    <w:p w:rsidR="0048539C" w:rsidRPr="0048539C" w:rsidRDefault="0048539C" w:rsidP="005D2741">
      <w:pPr>
        <w:pStyle w:val="a7"/>
        <w:jc w:val="center"/>
        <w:rPr>
          <w:kern w:val="36"/>
          <w:lang w:eastAsia="ru-RU"/>
        </w:rPr>
      </w:pPr>
      <w:r w:rsidRPr="0048539C">
        <w:rPr>
          <w:kern w:val="36"/>
          <w:lang w:eastAsia="ru-RU"/>
        </w:rPr>
        <w:t>план мероприятий по ее реализации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I. Основные проблемы функционирования системы музыкального образования на современном этапе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 протяжении более чем двухсотлетней истории российского отечественного музыкального образования была сформирована уникальная система по подготовке профессиональных музыкантов и приобщению подрастающего поколения к музыкальному искусству и творчеству. В основу содержания системы музыкального образования положены исторически сложившиеся и апробированные традиции обучения детей и молодежи на лучших образцах классической и народной музыки.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настоящее время в стране имеется развитая сеть образовательных организаций, реализующих образовательные программы в области музыкального искусства и педагогики (3089 детских музыкальных школ и школ искусств с музыкальными отделениями, 176 средних и 45 высших учебных заведений), находящихся в ведении не только органов управления культурой всех уровней, но и органов управления образованием.</w:t>
      </w:r>
      <w:proofErr w:type="gram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Так, например, в ведении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Минобрнауки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России находятся 23 вуза, реализующих программы в области музыкального искусства, а также педагогические вузы, осуществляющие подготовку учителей музыки для общеобразовательных школ.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Исторический опыт позволяет определить систему музыкального образования как совокупность образовательных учреждений и реализуемых в них образовательных программ в области музыкального искусства и педагогики, направленных на подготовку профессиональных музыкантов, распространение в обществе знаний о музыкальном наследии человечества, развитие творческого потенциала и формирование целостной личности, ее духовности, интеллектуального и эмоционального богатства.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Многие десятилетия система российского музыкального образования развивалась в двух направлениях, при этом центрами по подготовке кадров этой системы являлись консерватории и вузы, реализующие образовательные программы в области музыкального искусства (академии и институты музыки).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Первое направление связано с подготовкой профессиональных кадров, основанной на взаимосвязи 3-х этапов обучения – в детской школе искусств (музыкальной школе), музыкальных училищах (колледжах искусств) и музыкальных вузах (консерваториях, вузах искусств и культуры)[1], а также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двухступенной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модели – средние специальные музыкальные школы и хоровые училища[2] - музыкальный вуз (консерватория, вуз искусств).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 целью совершенствования исполнительского мастерства и подготовки преподавателей высшей квалификации для вузов, реализующих программы в области музыкального искусства, у наиболее талантливой молодежи имеется возможность обучаться в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ассистентурах-стажировках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а у будущих научных работников – аспирантуре.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Сама практика музыкального образования доказала, что становление музыканта-исполнителя, дирижера, композитора, преподавателя, музыковеда и учителя музыки в силу особенностей профессионального (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психоэмоционального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физиологического) развития личности должно осуществляться на протяжении 17-19 лет посредством реализации в образовательных организациях преемственных образовательных программ.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Основа трехуровневой подготовки профессиональных музыкантов была заложена в конце XIX века активной педагогической деятельностью и теоретическими изысканиями великих российских музыкантов-исполнителей и композиторов, а также благодаря организаторской и методической деятельности Российского музыкального общества (Императорского российского музыкального общества). Эта модель была сохранена, развита и приобрела общегосударственное значение в советский период истории нашей страны. Результатом явилось безусловное лидерство отечественных музыкантов-исполнителей на мировой концертной эстраде, а отечественный опыт по подготовке музыкантов стал примером для ряда зарубежных стран.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Второе направление в системе российского музыкального образования связано с массовым приобщением детей к музыкальному творчеству, получившее наибольшее развитие во второй половине ХХ века в общеобразовательных школах и развитой сети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досуговых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(клубных) учреждений. Детские хоровые коллективы, духовые оркестры, вокально-инструментальные ансамбли были в стране массовым явлением.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Несмотря на свою культурно-историческую значимость, система российского музыкального образования на протяжении последних двух десятилетий переживала сложный период, вызванный рядом законодательных, управленческих, содержательных, кадровых, материально-технических проблем.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Большой вклад в сохранение системы российского музыкального образования внесла Концепция развития образования в сфере культуры и искусства в Российской Федерации на 2008-2015 годы, одобренная распоряжением Правительства Российской Федерации от 25.08.2008 № 1244-р, а с 2011 года и Закон Российской Федерации «Об образовании», в который были внесены изменения, направленные на сохранение многоуровневого музыкального образования (детские школы искусств получили возможность реализовывать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предпрофессиональные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программы</w:t>
      </w:r>
      <w:proofErr w:type="gram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одаренные дети на законных основаниях получили возможность обучаться по интегрированным программам, а наиболее талантливая молодежь – в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ассистентуре-стажировке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). В последнее время стал повышаться статус преподавателя детской школы искусств, началась постепенная модернизация материально-технической базы школ искусств, разрабатываются и внедряются в практику новые образовательные программы, увеличилось количество творческих мероприятий для детей и молодежи, внимание стало уделяться и повышению квалификации </w:t>
      </w: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преподавателей</w:t>
      </w:r>
      <w:proofErr w:type="gram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как школ искусств, так и учителей музыки общеобразовательных школ.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Концепция 2008 года поставила общие для образования в сфере культуры и искусства проблемы, цели и задачи, позволившие реализовать ряд первостепенных законодательных инициатив, а также значительно укрепить материально-техническую базу образовательных учреждений.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то же время на сегодняшний день остаются нерешенными наиболее важные для российской системы музыкального образования вопросы, среди которых: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недостаточное понимание основополагающего значения музыкального искусства и детского творчества в духовно-нравственном воспитании подрастающего поколения, особенно на региональном и муниципальном уровнях;</w:t>
      </w:r>
      <w:proofErr w:type="gramEnd"/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отсутствие вертикали межотраслевого взаимодействия федеральных, региональных и муниципальных органов управления культурой по вопросам музыкального образования;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3)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неукомплектованность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региональных и муниципальных учреждений культуры (филармоний, театров), симфонических и народных оркестров профессиональными кадрами, в первую очередь - музыкантами-оркестрантами;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кадровый дефицит преподавателей и концертмейстеров в детских музыкальных школах сельской местности, музыкальных училищах (особенно велика потребность в преподавателях историко-теоретических дисциплин, а также по классам струнных, духовых, ударных, народных инструментов);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5) прогрессирующее уменьшение количества обучающихся по ряду основополагающих музыкальных специальностей (по классам оркестровых духовых, ударных, народных и струнных инструментов, на хоровых и историко-теоретических отделениях: за последние 10 лет количество детей, обучающихся на хоровых отделениях в ДШИ, уменьшилось на 11 тыс. человек, а обучающихся на струнных инструментах – на 35 тысяч, при общем увеличении количества детей в ДШИ на 150 тысяч человек);</w:t>
      </w:r>
      <w:proofErr w:type="gramEnd"/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6) снижение качества подготовки выпускников музыкальных училищ, музыкальных и педагогических вузов по причине снижения уровня подготовки выпускников в детских школах искусств, превращения ДШИ в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досуговые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учреждения;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7) рассредоточение профессиональной подготовки музыкантов по непрофильным вузам, невысокий уровень подготовки учителей музыки в вузах педагогической направленности;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8) отсутствие в большинстве общеобразовательных школ различных форм детского музыкального творчества – детских хоров, инструментальных и вокальных ансамблей, духовых, народных, эстрадных оркестров.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Данное состояние системы российского музыкального образования не соответствует государственным интересам, не гарантирует поступательного развития российской культуры и образования и не способствует сохранению их самобытности.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II. Цели и задачи Программы, а также меры по их достижению и решению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Основным фактором успешного социально-экономического развития страны является возрастание роли человеческого капитала, что отмечено в «Концепции долгосрочного социально-экономического развития Российской Федерации на период до 2020 года», утвержденной распоряжением Правительства Российской Федерации от 17 ноября 2008 г. № 1662-р, а также Указе Президента Российской Федерации от 01.06.2012 № 761 «О национальной стратегии действий в интересах детей на 2012-2017 годы».</w:t>
      </w:r>
      <w:proofErr w:type="gramEnd"/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Учитывая, что стратегической целью социально-экономического развития страны на период до 2020 года является достижение уровня экономического и социального развития, соответствующего статусу России как </w:t>
      </w: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одной из ведущих мировых держав XXI века, профессиональное музыкальное образование и массовое приобщение подрастающего поколения к музыкальному творчеству приобретает особое значение.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Развивая умственные способности человека, воздействуя через эмоциональную активность личности на ее интеллект, музыкальное образование способствует формированию у подрастающего поколения духовно-нравственных ориентиров, гуманистического мировоззрения, толерантности, развитого эстетического вкуса и проявлению творческой активности. Такое понимание значимости музыкального образования делает актуальным развитие системы музыкального образования в исторически сложившихся двух ее направлениях − подготовке профессиональных музыкантов и широком охвате детей музыкальным творчеством.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этой связи </w:t>
      </w:r>
      <w:r w:rsidRPr="0048539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целями</w:t>
      </w: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настоящей Программы являются: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создание инновационной модели стратегического управления системой российского музыкального образования, обеспечивающей ее устойчивое поступательное развитие, в том числе сохранение сети ДШИ[3];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повышение качества подготовки музыкантов, в том числе учителей музыки;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привлечение к музыкальному искусству и творчеству наибольшего количества детей.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достижения целей Программы </w:t>
      </w:r>
      <w:r w:rsidRPr="0048539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административно-управленческой области</w:t>
      </w: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необходимо решение </w:t>
      </w:r>
      <w:r w:rsidRPr="0048539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задачи </w:t>
      </w: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обеспечению вертикали управления и межведомственного взаимодействия федеральных, региональных и муниципальных органов власти в области музыкального образования и педагогики путем: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заключения соглашения между Минкультуры России и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Минобрнауки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России о взаимодействии по вопросам развития музыкального образования и педагогики, массового приобщения подрастающего поколения к музыкальному творчеству, государственного </w:t>
      </w: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 за</w:t>
      </w:r>
      <w:proofErr w:type="gram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качеством подготовки профессиональных кадров;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акцентирования деятельности Совета по образованию в области музыкального искусства и педагогики при Минкультуры России на обеспечение межотраслевого взаимодействия органов власти разного уровня, выработку предложений по повышению качества музыкального образования и педагогики, в т.ч. путем проведения экспертиз качества подготовки профессиональных кадров, обучения детей в ДШИ, координации проведения общественно-профессиональной аккредитации образовательных программ в области музыкального искусства и педагогики, качества проведения международных</w:t>
      </w:r>
      <w:proofErr w:type="gram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всероссийских творческих мероприятий для детей и молодежи, участия в формировании содержания основных и дополнительных образовательных программ в области музыкального искусства, а также программ общего образования (в части реализации предмета «Музыка» и деятельности детских творческих коллективов во внеурочное время).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области методической, творческой и просветительской деятельности необходимо решить пять основных задач: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Обеспечить преемственность и качество реализации образовательных программ в области музыкального искусства и педагогики, для чего необходимо: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создать на базе ведущих вузов, реализующих образовательные программы в области музыкального искусства, методические центры («зоны территориальной ответственности») для обеспечения методической и творческой координации деятельности детских школ искусств, музыкальных училищ, музыкально-педагогических отделений (факультетов) педагогических училищ и вузов, общеобразовательных школ[4];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разработать систему мер, позволяющих предоставлять право на подготовку профессиональных кадров в области музыкального искусства и педагогики только образовательным организациям со сложившимися творческими школами, имеющим высокопрофессиональный кадровый потенциал и соответствующие материально-технические условия;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разработать механизм по творческому и методическому взаимодействию детских школ иску</w:t>
      </w: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сств с д</w:t>
      </w:r>
      <w:proofErr w:type="gram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ошкольными организациями и общеобразовательными школами с целью отбора музыкально одаренных детей;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обеспечить прохождение студентами музыкальных училищ и музыкальных вузов педагогической практики в общеобразовательных школах и детских школах искусств;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установить обязательные требования к содержанию выпускных экзаменов по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предпрофессиональным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образовательным программам, приемных испытаний и выпускных экзаменов по образовательным программам среднего профессионального и высшего образования в области музыкального искусства и педагогики.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Решение данной задачи невозможно без кардинальной модернизации материально-технической базы образовательных организаций, в первую очередь регионального и муниципального уровней. Следует отметить, что последние годы финансирование большинства региональных и муниципальных детских музыкальных школ и музыкальных училищ осуществляется по остаточному принципу: в образовательных организациях не обновляется парк музыкальных инструментов, не выделяются необходимые средства на пополнение библиотечных фондов, повышение квалификации педагогических работников, проведение творческих и просветительских мероприятий.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этих условиях на региональном уровне целесообразно использовать программно-целевой подход в финансовой поддержке детских школ искусств и музыкальных училищ (т.е. предусматривать дополнительное финансирование в рамках региональных программ).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Повысить качество проводимых на территории страны творческих мероприятий (конкурсов и фестивалей) в области музыкального искусства, поскольку «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конкурсомания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», </w:t>
      </w: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захлестнувшая</w:t>
      </w:r>
      <w:proofErr w:type="gram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детскую и юношескую аудиторию, не способствует полноценной реализации учебного процесса и неблагоприятно отражается на личности ребенка. Для этого необходимо: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определить перечень приоритетных всероссийских и международных творческих конкурсов и фестивалей, проводимых за счет федеральных средств на территории Российской Федерации;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устанавливать педагогическим работникам, участвующим в подготовке лауреатов конкурсов и фестивалей, льготные условия при прохождении аттестации, а также стимулирующие надбавки к заработной плате;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осуществлять общественно-профессиональную экспертизу творческих конкурсов и фестивалей, проводимых за счет федеральных и региональных средств.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 целью популяризации детского хорового пения, музыкального исполнительства на струнных, духовых и народных инструментах при проведении отбора творческих мероприятий необходимо предусмотреть ежегодное проведение всероссийских и региональных конкурсов детских хоровых коллективов, детских духовых, народных и камерных оркестров с предоставлением права лауреатам конкурсов участия во всероссийских творческих школах для одаренных детей.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Обеспечить профессиональными кадрами региональные и муниципальные творческие коллективы, педагогические коллективы детских школ искусств и музыкальных училищ путем: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оптимизации государственного заказа на подготовку профессиональных кадров в области музыкального искусства и педагогики с приоритетом, в том числе и целевой, подготовки специалистов по оркестровым специальностям, истории и теории музыки, музыкальной педагогики;</w:t>
      </w:r>
      <w:proofErr w:type="gramEnd"/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расширения практики целевой подготовки исполнительских и педагогических кадров в музыкальных вузах для нужд региональных и муниципальных образовательных организаций, учреждений культуры, особенно сельской местности;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привлечения к педагогической и творческой деятельности музыкальных вузов специалистов зарубежных стран, в первую очередь в области оркестрового исполнительства,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дирижирования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вокального искусства;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установления перечня образовательных программ в области музыкального искусства, по которым обучающимся будет дано льготное право на прохождение альтернативной военной службы, снижение стоимости оплаты за обучение и проживание в общежитии в случае обучения на платной основе;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создания при музыкальных училищах и вузах структурных подразделений по реализации образовательных программ в области музыкального искусства предшествующего уровня подготовки с целью отбора и дальнейшей профессионализации наиболее одаренных детей и молодежи.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Возродить практику функционирования в общеобразовательных школах хоровых коллективов, духовых оркестров и других коллективных форм детского музыкального творчества. Для решения данной задачи необходимо: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разработать и внедрить в практику общеобразовательных школ комплекс учебно-методических материалов по реализации учебного предмета «Музыка», а также создать на базе каждой общеобразовательной школы детские творческие коллективы во внеурочное время;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возродить практику ежегодных проведений среди общеобразовательных школ детских и юношеских смотров (конкурсов, фестивалей) хорового пения;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осуществлять повышение квалификации учителей музыки на базе ведущих творческих вузов, реализующих программы в области музыкального искусства.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Обеспечить информационную поддержку системе российского музыкального образования путем: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создания общероссийской научно-методической информационной базы данных по музыкальному образованию;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разработки учебно-методической литературы, в том числе в электронном виде, инновационных образовательных программ и технологий;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активного привлечения средств массовой информации к пропаганде музыкального искусства и образования для усиления их позитивного влияния на культурную жизнь современного российского общества.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III. Планируемые результаты и предварительная оценка эффективности реализации Программы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Понимание на государственном уровне значимости развития системы российского музыкального образования в духовно-нравственном воспитании подрастающего поколения должно привести к полноценному осуществлению ею важнейших социально-культурных функций: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1) сохранения и приумножения ценностей отечественной музыкальной культуры и дальнейшего возвышения ее роли в мировом культурном пространстве;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удовлетворения общественно-культурной потребности в профессиональных кадрах;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3) приобщение к музыкальному искусству и творчеству наибольшего количества детей и молодежи с целью формирования духовно-нравственного общества, «человеческого капитала» страны – не менее 40 процентов к 2020 году от общего числа детей, обучающихся в общеобразовательных школах, необходимо привлечь во внеурочное время к освоению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общеразвивающих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программ в области музыкального искусства и участию в творческих коллективах.</w:t>
      </w:r>
      <w:proofErr w:type="gramEnd"/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Устойчивое поступательное развитие системы российского музыкального образования усилит взаимодействие всех звеньев и уровней музыкального образования. Укрепление отраслевой вертикали управления системой российского музыкального образования позволит восстановить ранее существовавшие тесные профессиональные связи детских школ искусств, музыкальных училищ и </w:t>
      </w: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вузов</w:t>
      </w:r>
      <w:proofErr w:type="gram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как между собой, так и с организациями культуры и общеобразовательными школами, что, несомненно, позволит ликвидировать кадровый дефицит по ряду музыкальных специальностей, обеспечить приток молодых специалистов в региональные и муниципальные оркестры, педагогические коллективы, а также реализовывать на высоком уровне основные и дополнительные образовательные программы в области музыкального искусства и педагогики.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Основой системы российского музыкального образования будет являться развитая сеть детских школ искусств, выполняющая основную функцию по созданию условий для творческого развития музыкально одаренных детей при реализации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предпрофессиональных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образовательных программ, направленных </w:t>
      </w: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</w:t>
      </w:r>
      <w:proofErr w:type="gram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формирование заинтересованной и грамотной аудитории слушателей и зрителей, способной к адекватному и критическому восприятию произведений музыкального искусства, самостоятельному любительскому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музицированию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формирование у обучающих основ исполнительского мастерства и необходимого объема теоретических знаний, позволяющих в дальнейшем осваивать профильные образовательные программы среднего профессионального и высшего образования.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Детские школы искусств, музыкальные училища и творческие вузы станут очагами широкой пропаганды музыкального искусства в обществе, в том числе и в общеобразовательных школах.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Повысится качество музыкального образования и педагогики за счет: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обеспечения взаимодействия образовательных организаций разного уровня и ведомственной принадлежности по всем основным видам деятельности (образовательной, творческой, методической);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обеспечения общественно-профессионального </w:t>
      </w: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 за</w:t>
      </w:r>
      <w:proofErr w:type="gram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подготовкой кадров, в том числе в детских школах искусств;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установления минимума содержания (единых профессиональных требований) к вступительным творческим испытаниям и выпускным экзаменам для музыкальных училищ, творческих и педагогических вузов с учетом содержания преемственных образовательных программ в области музыкального искусства и музыкальной педагогики.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Повысится качество подготовки учителей музыки для общеобразовательных школ, в которых возродятся различные формы детского музыкального творчества.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творческих вузах в качестве структурных подразделений будут созданы детские музыкальные школы, музыкальные училища и/или кадетские музыкальные корпуса для особо одаренных детей, что позволит не только пополнять круг обучающихся по наиболее дефицитным специальностям − оркестровым струнным, духовым и народным инструментам, теории музыки, но и разрабатывать и внедрять экспериментальные методики и технологии по обучению одаренных детей.</w:t>
      </w:r>
      <w:proofErr w:type="gram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Музыкальные школы для одаренных детей будут открыты и на базе музыкальных училищ. 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Творческие вузы станут научными и методическими центрами, определяющими основные аспекты деятельности организаций музыкального образования и педагогики. Деятельность этих вузов будет направлена не только на подготовку исполнительских и педагогических кадров для организаций культуры (концертных организаций, театров, творческих коллективов) и образовательных организаций, но и развитие музыкального искусства в современных социально-культурных условиях посредством подготовки звукорежиссеров, продюсеров, специалистов в области рекламы, работников средств массовой информации.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Большую роль в создании положительного имиджа системы российского музыкального образования станут играть средства массовой информации, заинтересованные в выполнении своей воспитательной роли и просветительской функции по пропаганде классического и современного музыкального искусства, эффективных методик и технологий по обучению и привлечению подрастающего поколения музыкальному искусству и творчеству. </w:t>
      </w:r>
      <w:proofErr w:type="gramEnd"/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Развитая система российского музыкального образования страны, отвечающая самым высоким современным требованиям – социальным, профессиональным, правовым и материально-техническим, может стать образцом активного участия образовательных организаций и организаций культуры в построении более совершенного общества будущего – общества, нацеленного не на потребление, а на устойчивое развитие и духовное совершенствование. </w:t>
      </w:r>
      <w:proofErr w:type="gramEnd"/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 целью оценки результатов реализации настоящей Программы будет ежегодно проводиться мониторинг образовательных организаций, реализующих образовательные программы в области музыкального искусства и педагогики, а также общеобразовательных школ по реализации </w:t>
      </w:r>
      <w:proofErr w:type="spell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общеразвивающих</w:t>
      </w:r>
      <w:proofErr w:type="spell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программ и функционированию детских музыкальных коллективов. </w:t>
      </w:r>
    </w:p>
    <w:p w:rsidR="0048539C" w:rsidRPr="0048539C" w:rsidRDefault="0048539C" w:rsidP="0048539C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 w:type="textWrapping" w:clear="all"/>
      </w:r>
    </w:p>
    <w:p w:rsidR="0048539C" w:rsidRPr="0048539C" w:rsidRDefault="00CD5767" w:rsidP="0048539C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57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5" style="width:159.05pt;height:.75pt" o:hrpct="330" o:hrstd="t" o:hr="t" fillcolor="#a0a0a0" stroked="f"/>
        </w:pic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[1] По тексту Программы словосочетания «музыкальные вузы», «вузы, реализующие образовательные программы в области музыкального искусства» и «творческие вузы» используются как синонимы.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[2] Многие десятилетия в этих образовательных учреждениях реализовывались адаптированные для обучения одаренных детей общеобразовательные программы, с включением в них целого ряда музыкальных предметов, срок обучения одаренных детей соответствовал сроку обучения в общеобразовательной школе; с середины 2000-х годов средние специальные музыкальные школы и хоровые училища стали реализовывать программы среднего профессионального образования с включением основных предметов общеобразовательной школы;</w:t>
      </w:r>
      <w:proofErr w:type="gramEnd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ФЗ № 273-ФЗ от 29.12.2012 года направлен на сохранение специфики обучения одаренных детей в области музыкального искусства, обеспечивая преемственность в обучении детей на разных уровнях образования, а также общий срок обучения детей в этих образовательных учреждениях.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[3] В перечне поручений Президента Российской Федерации (Пр-2821 от 05.12.2014) по реализации Послания Президента Российской Федерации Федеральному Собранию Российской Федерации от 4 декабря 2014 года указывается на недопустимость свертывания системы организаций дополнительного образования детей (пп.18 п.1).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[4] Деятельность методических центров (зон территориальной ответственности) в вузах осуществляется на основании локальных нормативных актов вуза и на основе заключенных договоров о сотрудничестве с заинтересованными сторонами (образовательными учреждениями разных типов), в том числе с имеющимися в субъектах Российской Федерации методическими кабинетами (центрами). </w:t>
      </w:r>
      <w:proofErr w:type="gramEnd"/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</w:t>
      </w:r>
    </w:p>
    <w:p w:rsidR="0048539C" w:rsidRPr="0048539C" w:rsidRDefault="0048539C" w:rsidP="0048539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8539C" w:rsidRPr="0048539C" w:rsidRDefault="0048539C" w:rsidP="0048539C">
      <w:pPr>
        <w:spacing w:before="100" w:before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539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План мероприятий по реализации Программы развития системы российского музыкального образования на период с 2015 по 2020 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5921"/>
        <w:gridCol w:w="1275"/>
        <w:gridCol w:w="2162"/>
      </w:tblGrid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 целью массового приобщения подрастающего поколения к музыкальному творчеству разработка Минкультуры России и </w:t>
            </w:r>
            <w:proofErr w:type="spellStart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России плана-графика по внедрению программы «Музыка» в общеобразовательные школы и созданию на базе общеобразовательных школ детских творческих коллективов (хоровых, инструментальных)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Минкультуры России, </w:t>
            </w:r>
            <w:proofErr w:type="spellStart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России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Разработка методического обеспечения реализации учебного предмета «Музыка» (ФГОС начального и основного общего образования), а также дополнительной общеобразовательной программы «Основы музыкальной культуры»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2015- 2020 годы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Минкультуры России, </w:t>
            </w:r>
            <w:bookmarkStart w:id="0" w:name="_GoBack"/>
            <w:bookmarkEnd w:id="0"/>
            <w:proofErr w:type="spellStart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России 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Создание на базе вузов, реализующих образовательные программы в области музыкального искусства и педагогики, методических центров («зон территориальной ответственности») по обеспечению методической и творческой координации деятельности ДШИ, музыкальных училищ/училищ искусств, музыкально-педагогических отделений (факультетов) педагогических училищ и вузов, общеобразовательных школ, в том числе с использованием ресурсов региональных методических центров (при их наличии) 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2015-2016 годы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Минкультуры России, </w:t>
            </w: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органы управления культурой субъектов Российской Федерации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Разработка методических рекомендаций по творческому и методическому взаимодействию ДШИ с дошкольными организациями и общеобразовательными школами с целью просветительской деятельности и отбора одаренных детей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2015 год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Минкультуры России, </w:t>
            </w:r>
            <w:proofErr w:type="spellStart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России 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Разработка рекомендаций о прохождении студентами профессиональных образовательных организаций и образовательных организаций высшего образования, реализующих образовательные программы в области музыкального искусства и педагогики, педагогической практики в ДШИ и общеобразовательных организациях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2015 год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Минкультуры России, </w:t>
            </w:r>
            <w:proofErr w:type="spellStart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России, </w:t>
            </w: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органы управления культурой субъектов Российской Федерации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Разработка рекомендаций по обязательному минимуму (требований) к содержанию выпускных экзаменов по образовательным программам среднего профессионального и высшего образования в области музыкального искусства и педагогики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2015-2016 годы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Минкультуры России, </w:t>
            </w: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Совет по музыкальному образованию и педагогики при Минкультуры России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Обеспечение государственной поддержки развитию системы повышения квалификации и переподготовки педагогических кадров образовательных учреждений, реализующих образовательные программы в области музыкального искусства и педагогики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2015-2020 годы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Минкультуры России, </w:t>
            </w: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органы управления культурой субъектов Российской Федерации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перечня проводимых на территории Российской Федерации приоритетных всероссийских и международных творческих конкурсов и фестивалей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2015-2020 годы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Минкультуры России, </w:t>
            </w: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Совет по музыкальному образованию и педагогике при Минкультуры России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Ежегодное проведение на федеральном и региональном уровнях конкурсов педагогического мастерства преподавателей музыкальных училищ/училищ искусств (в приоритетном направлении – преподавателей историко-теоретических </w:t>
            </w: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дисциплин, оркестровых специальностей), а также конкурсов духовых и народных детских и юношеских оркестров, хоровых коллективов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2015-2020 годы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Минкультуры России, </w:t>
            </w: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органы управления культурой субъектов Российской </w:t>
            </w: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Федерации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Расширение, начиная с 2015 года, в творческих вузах целевой подготовки исполнительских и педагогических кадров для нужд региональных и муниципальных образовательных организаций и учреждений культуры, в том числе сельской местности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2015-2020 годы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Минкультуры России, </w:t>
            </w: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органы управления культурой субъектов Российской Федерации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Оптимизация государственного заказа на подготовку профессиональных кадров в области музыкального искусства и педагогики с приоритетом подготовки специалистов по оркестровым специальностям, истории и теории музыки, музыкальной педагогики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2015-2020 годы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Минкультуры России, </w:t>
            </w: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органы управления культурой субъектов Российской Федерации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Модернизация материально-технической базы музыкальных училищ/училищ искусств и ДШИ (обновление музыкального инструментария, выделение средств на пополнение библиотечных фондов)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2015-2020 годы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органы управления культурой субъектов Российской Федерации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Создание информационной базы данных по музыкальному образованию и педагогике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2015-2016 годы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Минкультуры России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мониторинга вакансий в образовательных организациях, осуществляющих подготовку кадров в области музыкального искусства и педагогики, а также учреждениях культуры (театрах, филармониях, оркестровых и хоровых коллективах)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2015-2020 годы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Минкультуры России, </w:t>
            </w: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органы управления культурой субъектов Российской Федерации</w:t>
            </w:r>
          </w:p>
        </w:tc>
      </w:tr>
      <w:tr w:rsidR="0048539C" w:rsidRPr="0048539C" w:rsidTr="0048539C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Мониторинг деятельности ДШИ и музыкальных училищ (училищ искусств)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2015-2020 годы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8539C" w:rsidRPr="0048539C" w:rsidRDefault="0048539C" w:rsidP="0048539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Минкультуры России, </w:t>
            </w:r>
            <w:r w:rsidRPr="0048539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органы управления культурой субъектов Российской Федерации</w:t>
            </w:r>
          </w:p>
        </w:tc>
      </w:tr>
    </w:tbl>
    <w:p w:rsidR="009508F6" w:rsidRPr="0048539C" w:rsidRDefault="009508F6" w:rsidP="005D2741">
      <w:pPr>
        <w:spacing w:line="240" w:lineRule="auto"/>
        <w:rPr>
          <w:lang w:val="en-US"/>
        </w:rPr>
      </w:pPr>
    </w:p>
    <w:sectPr w:rsidR="009508F6" w:rsidRPr="0048539C" w:rsidSect="00901555">
      <w:pgSz w:w="11906" w:h="16838"/>
      <w:pgMar w:top="1134" w:right="709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63"/>
    <w:multiLevelType w:val="multilevel"/>
    <w:tmpl w:val="0E7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C09B0"/>
    <w:multiLevelType w:val="multilevel"/>
    <w:tmpl w:val="C592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539C"/>
    <w:rsid w:val="0048539C"/>
    <w:rsid w:val="00537A8D"/>
    <w:rsid w:val="005D2741"/>
    <w:rsid w:val="00901555"/>
    <w:rsid w:val="009508F6"/>
    <w:rsid w:val="00956500"/>
    <w:rsid w:val="00C65828"/>
    <w:rsid w:val="00CD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F6"/>
  </w:style>
  <w:style w:type="paragraph" w:styleId="1">
    <w:name w:val="heading 1"/>
    <w:basedOn w:val="a"/>
    <w:link w:val="10"/>
    <w:uiPriority w:val="9"/>
    <w:qFormat/>
    <w:rsid w:val="0048539C"/>
    <w:pPr>
      <w:spacing w:before="100" w:beforeAutospacing="1" w:after="100" w:afterAutospacing="1" w:line="240" w:lineRule="auto"/>
      <w:outlineLvl w:val="0"/>
    </w:pPr>
    <w:rPr>
      <w:rFonts w:ascii="Georgia" w:eastAsia="Times New Roman" w:hAnsi="Georgia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39C"/>
    <w:rPr>
      <w:rFonts w:ascii="Georgia" w:eastAsia="Times New Roman" w:hAnsi="Georgia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48539C"/>
    <w:rPr>
      <w:color w:val="00509D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48539C"/>
    <w:pPr>
      <w:spacing w:before="100" w:beforeAutospacing="1" w:after="150" w:line="240" w:lineRule="auto"/>
      <w:jc w:val="both"/>
    </w:pPr>
    <w:rPr>
      <w:rFonts w:eastAsia="Times New Roman"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539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53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539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53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3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274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43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8656">
                      <w:marLeft w:val="225"/>
                      <w:marRight w:val="0"/>
                      <w:marTop w:val="10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03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3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3672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61750">
                  <w:marLeft w:val="94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CACAC"/>
                    <w:bottom w:val="none" w:sz="0" w:space="0" w:color="auto"/>
                    <w:right w:val="none" w:sz="0" w:space="0" w:color="auto"/>
                  </w:divBdr>
                  <w:divsChild>
                    <w:div w:id="1447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000000"/>
                        <w:right w:val="none" w:sz="0" w:space="0" w:color="auto"/>
                      </w:divBdr>
                      <w:divsChild>
                        <w:div w:id="13475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85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2641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10">
                  <w:marLeft w:val="0"/>
                  <w:marRight w:val="0"/>
                  <w:marTop w:val="150"/>
                  <w:marBottom w:val="150"/>
                  <w:divBdr>
                    <w:top w:val="single" w:sz="12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169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6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2015-03-13T06:58:00Z</cp:lastPrinted>
  <dcterms:created xsi:type="dcterms:W3CDTF">2015-03-12T09:17:00Z</dcterms:created>
  <dcterms:modified xsi:type="dcterms:W3CDTF">2015-03-13T07:13:00Z</dcterms:modified>
</cp:coreProperties>
</file>